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 xml:space="preserve">Информационная справка </w:t>
        <w:br/>
        <w:t xml:space="preserve">о Всероссийском конкурсе молодежных авторских проектов </w:t>
        <w:br/>
        <w:t xml:space="preserve">и проектов в сфере образования, направленных на социально-экономическое развитие российских территорий </w:t>
        <w:br/>
        <w:t>«Моя страна – моя Россия»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>Идея конкурса – в привлечении потенциала молодежи к решению острых вопросов социально-экономического развития российских регионов, городов и сел.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Конкурс проводится в целях привлечения молодежи к участию </w:t>
        <w:br/>
        <w:t xml:space="preserve">в социально–экономическом развитии российских регионов, городов и сел – разработке и реализации проектов, направленных </w:t>
        <w:br/>
        <w:t xml:space="preserve">на совершенствование системы управления российскими территориями, развитие реального сектора экономики, социальной </w:t>
        <w:br/>
        <w:t xml:space="preserve">и научно-педагогической сфер, содействия развитию социальных лифтов, поддержки проектов и инициатив, создающих возможности для личностной и профессиональной самореализации молодых граждан в различных сферах деятельности. </w:t>
      </w:r>
    </w:p>
    <w:p>
      <w:pPr>
        <w:pStyle w:val="Normal"/>
        <w:ind w:firstLine="708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Презентация:</w:t>
      </w:r>
      <w:r>
        <w:rPr>
          <w:sz w:val="30"/>
          <w:szCs w:val="30"/>
        </w:rPr>
        <w:t xml:space="preserve"> </w:t>
      </w:r>
      <w:hyperlink r:id="rId2" w:tooltip="https://disk.yandex.ru/d/U64VSQNgv_XuBg">
        <w:r>
          <w:rPr>
            <w:rStyle w:val="Hyperlink"/>
            <w:rFonts w:cs="Times New Roman" w:ascii="Times New Roman" w:hAnsi="Times New Roman"/>
            <w:sz w:val="30"/>
            <w:szCs w:val="30"/>
          </w:rPr>
          <w:t>https://disk.yandex.ru/d/U64VSQNgv_XuBg</w:t>
        </w:r>
      </w:hyperlink>
      <w:r>
        <w:rPr>
          <w:sz w:val="30"/>
          <w:szCs w:val="30"/>
        </w:rPr>
        <w:t xml:space="preserve">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5749290" cy="4312285"/>
            <wp:effectExtent l="0" t="0" r="0" b="0"/>
            <wp:docPr id="1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431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b/>
          <w:bCs/>
          <w:color w:val="222222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222222"/>
          <w:sz w:val="24"/>
          <w:szCs w:val="24"/>
          <w:lang w:eastAsia="ru-RU"/>
        </w:rPr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b/>
          <w:bCs/>
          <w:color w:val="222222"/>
          <w:sz w:val="30"/>
          <w:szCs w:val="30"/>
        </w:rPr>
      </w:pPr>
      <w:r>
        <w:rPr>
          <w:rFonts w:eastAsia="Times New Roman" w:cs="Times New Roman" w:ascii="Times New Roman" w:hAnsi="Times New Roman"/>
          <w:b/>
          <w:bCs/>
          <w:color w:val="222222"/>
          <w:sz w:val="30"/>
          <w:szCs w:val="30"/>
          <w:lang w:eastAsia="ru-RU"/>
        </w:rPr>
        <w:t>В 2026 году конкурс проводится в рамках реализации: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color w:val="222222"/>
          <w:sz w:val="30"/>
          <w:szCs w:val="30"/>
        </w:rPr>
      </w:pPr>
      <w:r>
        <w:rPr>
          <w:rFonts w:eastAsia="Times New Roman" w:cs="Times New Roman" w:ascii="Times New Roman" w:hAnsi="Times New Roman"/>
          <w:i/>
          <w:iCs/>
          <w:color w:val="222222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i/>
          <w:iCs/>
          <w:color w:val="222222"/>
          <w:sz w:val="30"/>
          <w:szCs w:val="30"/>
          <w:lang w:eastAsia="ru-RU"/>
        </w:rPr>
        <w:t xml:space="preserve">Указа Президента Российской Федерации от 25 апреля 2022 г. № 231 «Об объявлении в Российской Федерации Десятилетия науки </w:t>
        <w:br/>
        <w:t>и технологий»;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color w:val="222222"/>
          <w:sz w:val="30"/>
          <w:szCs w:val="30"/>
        </w:rPr>
      </w:pPr>
      <w:r>
        <w:rPr>
          <w:rFonts w:eastAsia="Times New Roman" w:cs="Times New Roman" w:ascii="Times New Roman" w:hAnsi="Times New Roman"/>
          <w:i/>
          <w:iCs/>
          <w:color w:val="222222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i/>
          <w:iCs/>
          <w:color w:val="222222"/>
          <w:sz w:val="30"/>
          <w:szCs w:val="30"/>
          <w:lang w:eastAsia="ru-RU"/>
        </w:rPr>
        <w:t>Указа Президента Российской Федерации от 25 декабря 2025 г. № 962 «О проведении в Российской Федерации Года единства народов России»;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color w:val="222222"/>
          <w:sz w:val="30"/>
          <w:szCs w:val="30"/>
        </w:rPr>
      </w:pPr>
      <w:r>
        <w:rPr>
          <w:rFonts w:eastAsia="Times New Roman" w:cs="Times New Roman" w:ascii="Times New Roman" w:hAnsi="Times New Roman"/>
          <w:i/>
          <w:iCs/>
          <w:color w:val="222222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i/>
          <w:iCs/>
          <w:color w:val="222222"/>
          <w:sz w:val="30"/>
          <w:szCs w:val="30"/>
          <w:lang w:eastAsia="ru-RU"/>
        </w:rPr>
        <w:t>плана мероприятий по реализации в 2025 – 2027 годах Стратегии государственной культурной политики на период до 2030 года, утвержденного распоряжением Правительства Российской Федерации от 3 июня 2025 г. № 1431-р.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>
        <w:rPr>
          <w:rFonts w:cs="Times New Roman" w:ascii="Times New Roman" w:hAnsi="Times New Roman"/>
          <w:b/>
          <w:bCs/>
          <w:sz w:val="30"/>
          <w:szCs w:val="30"/>
          <w:u w:val="single"/>
        </w:rPr>
        <w:t xml:space="preserve">Сайт конкурса: </w:t>
      </w:r>
      <w:hyperlink r:id="rId4" w:tooltip="https://moyastrana.ru/">
        <w:r>
          <w:rPr>
            <w:rStyle w:val="Hyperlink"/>
            <w:rFonts w:cs="Times New Roman" w:ascii="Times New Roman" w:hAnsi="Times New Roman"/>
            <w:b/>
            <w:bCs/>
            <w:sz w:val="30"/>
            <w:szCs w:val="30"/>
          </w:rPr>
          <w:t>https://moyastrana.ru/</w:t>
        </w:r>
      </w:hyperlink>
      <w:r>
        <w:rPr>
          <w:rFonts w:cs="Times New Roman" w:ascii="Times New Roman" w:hAnsi="Times New Roman"/>
          <w:b/>
          <w:bCs/>
          <w:sz w:val="30"/>
          <w:szCs w:val="30"/>
          <w:u w:val="single"/>
        </w:rPr>
        <w:t xml:space="preserve">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>
        <w:rPr>
          <w:rFonts w:cs="Times New Roman" w:ascii="Times New Roman" w:hAnsi="Times New Roman"/>
          <w:b/>
          <w:bCs/>
          <w:sz w:val="30"/>
          <w:szCs w:val="30"/>
          <w:u w:val="single"/>
        </w:rPr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История и миссия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Авторы идеи конкурса «Моя страна – моя Россия» – молодые люди из Архангельска, Новосибирска, Коломны, Рязани, Москвы </w:t>
        <w:br/>
        <w:t>и Калининграда, участники I Всероссийского семинара-совещания по развитию молодежного парламентаризма в Российской Федерации (Рязань, 2003 год). За более чем 20 лет конкурс стал сообществом экспертов, педагогов-новаторов, выпускников и инициативной молодежи, ориентированной на практическое развитие своих территорий. Он формирует управленческие компетенции, способствует созданию проектных команд и поддерживает реализацию социально значимых инициатив.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В 2019 году конкурс вошел в Президентскую платформу «Россия – страна возможностей».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География и динамика участия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Конкурс «Моя страна – моя Россия» объединяет участников </w:t>
        <w:br/>
        <w:t>из всех регионов Российской Федерации, а также зарубежных государств. В разные годы свои проекты представляли школьники, студенты, аспиранты, молодые предприниматели, специалисты, ученые и общественные деятели. География конкурса охватывает как крупные города, так и малые населенные пункты, обеспечивая равные возможности для инициативной молодежи вне зависимости от места проживания.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>Динамика участия демонстрирует устойчивый интерес к конкурсу и его развитию. В 2019 году было зарегистрировано </w:t>
      </w:r>
      <w:r>
        <w:rPr>
          <w:rFonts w:cs="Times New Roman" w:ascii="Times New Roman" w:hAnsi="Times New Roman"/>
          <w:b/>
          <w:bCs/>
          <w:sz w:val="30"/>
          <w:szCs w:val="30"/>
        </w:rPr>
        <w:t>34 604</w:t>
      </w:r>
      <w:r>
        <w:rPr>
          <w:rFonts w:cs="Times New Roman" w:ascii="Times New Roman" w:hAnsi="Times New Roman"/>
          <w:sz w:val="30"/>
          <w:szCs w:val="30"/>
        </w:rPr>
        <w:t xml:space="preserve"> участника, в 2020 году – </w:t>
      </w:r>
      <w:r>
        <w:rPr>
          <w:rFonts w:cs="Times New Roman" w:ascii="Times New Roman" w:hAnsi="Times New Roman"/>
          <w:b/>
          <w:bCs/>
          <w:sz w:val="30"/>
          <w:szCs w:val="30"/>
        </w:rPr>
        <w:t>63 011</w:t>
      </w:r>
      <w:r>
        <w:rPr>
          <w:rFonts w:cs="Times New Roman" w:ascii="Times New Roman" w:hAnsi="Times New Roman"/>
          <w:sz w:val="30"/>
          <w:szCs w:val="30"/>
        </w:rPr>
        <w:t xml:space="preserve"> человек. В 2021 году число участников составило </w:t>
      </w:r>
      <w:r>
        <w:rPr>
          <w:rFonts w:cs="Times New Roman" w:ascii="Times New Roman" w:hAnsi="Times New Roman"/>
          <w:b/>
          <w:bCs/>
          <w:sz w:val="30"/>
          <w:szCs w:val="30"/>
        </w:rPr>
        <w:t>91 147</w:t>
      </w:r>
      <w:r>
        <w:rPr>
          <w:rFonts w:cs="Times New Roman" w:ascii="Times New Roman" w:hAnsi="Times New Roman"/>
          <w:sz w:val="30"/>
          <w:szCs w:val="30"/>
        </w:rPr>
        <w:t>, в 2022 году – </w:t>
      </w:r>
      <w:r>
        <w:rPr>
          <w:rFonts w:cs="Times New Roman" w:ascii="Times New Roman" w:hAnsi="Times New Roman"/>
          <w:b/>
          <w:bCs/>
          <w:sz w:val="30"/>
          <w:szCs w:val="30"/>
        </w:rPr>
        <w:t>93 226</w:t>
      </w:r>
      <w:r>
        <w:rPr>
          <w:rFonts w:cs="Times New Roman" w:ascii="Times New Roman" w:hAnsi="Times New Roman"/>
          <w:sz w:val="30"/>
          <w:szCs w:val="30"/>
        </w:rPr>
        <w:t>. В 2023 году конкурс достиг отметки </w:t>
      </w:r>
      <w:r>
        <w:rPr>
          <w:rFonts w:cs="Times New Roman" w:ascii="Times New Roman" w:hAnsi="Times New Roman"/>
          <w:b/>
          <w:bCs/>
          <w:sz w:val="30"/>
          <w:szCs w:val="30"/>
        </w:rPr>
        <w:t>101 902</w:t>
      </w:r>
      <w:r>
        <w:rPr>
          <w:rFonts w:cs="Times New Roman" w:ascii="Times New Roman" w:hAnsi="Times New Roman"/>
          <w:sz w:val="30"/>
          <w:szCs w:val="30"/>
        </w:rPr>
        <w:t xml:space="preserve"> участника. В 2024 году участие приняли </w:t>
      </w:r>
      <w:r>
        <w:rPr>
          <w:rFonts w:cs="Times New Roman" w:ascii="Times New Roman" w:hAnsi="Times New Roman"/>
          <w:b/>
          <w:bCs/>
          <w:sz w:val="30"/>
          <w:szCs w:val="30"/>
        </w:rPr>
        <w:t>55 321</w:t>
      </w:r>
      <w:r>
        <w:rPr>
          <w:rFonts w:cs="Times New Roman" w:ascii="Times New Roman" w:hAnsi="Times New Roman"/>
          <w:sz w:val="30"/>
          <w:szCs w:val="30"/>
        </w:rPr>
        <w:t xml:space="preserve"> человек, а в 2025 году – </w:t>
      </w:r>
      <w:r>
        <w:rPr>
          <w:rFonts w:cs="Times New Roman" w:ascii="Times New Roman" w:hAnsi="Times New Roman"/>
          <w:b/>
          <w:bCs/>
          <w:sz w:val="30"/>
          <w:szCs w:val="30"/>
        </w:rPr>
        <w:t xml:space="preserve">74 369 </w:t>
      </w:r>
      <w:r>
        <w:rPr>
          <w:rFonts w:cs="Times New Roman" w:ascii="Times New Roman" w:hAnsi="Times New Roman"/>
          <w:sz w:val="30"/>
          <w:szCs w:val="30"/>
        </w:rPr>
        <w:t>человек. Таким образом, за последние годы конкурс стабильно объединяет десятки тысяч молодых людей ежегодно, подтверждая статус одного из крупнейших молодежных проектных конкурсов страны.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Форматы проведения и награждение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>Конкурс включает заочный и очный этапы, экспертную оценку проектов, образовательные мероприятия и постконкурсное сопровождение победителей и финалистов.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>Торжественные церемонии награждения победителей в разные годы проходили на площадках федерального уровня, включая </w:t>
      </w:r>
      <w:hyperlink r:id="rId5" w:tooltip="https://forumspb.com/?lang=ru&amp;utm_referrer=https%3A%2F%2Fyandex.ru%2F">
        <w:r>
          <w:rPr>
            <w:rStyle w:val="Hyperlink"/>
            <w:rFonts w:cs="Times New Roman" w:ascii="Times New Roman" w:hAnsi="Times New Roman"/>
            <w:sz w:val="30"/>
            <w:szCs w:val="30"/>
          </w:rPr>
          <w:t>Петербургский международный экономический форум</w:t>
        </w:r>
      </w:hyperlink>
      <w:r>
        <w:rPr>
          <w:rFonts w:cs="Times New Roman" w:ascii="Times New Roman" w:hAnsi="Times New Roman"/>
          <w:sz w:val="30"/>
          <w:szCs w:val="30"/>
        </w:rPr>
        <w:t>, Центр знаний «МАШУК» и другие.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Конкурс продолжает развиваться как открытая платформа </w:t>
        <w:br/>
        <w:t>для диалога молодежи, экспертного сообщества и органов власти, создавая условия для самореализации граждан и устойчивого развития российских территорий.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Экспертное сообщество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>Ежегодно к оценке проектов привлекаются более 3 000 экспертов из различных сфер – представителей органов государственной власти, бизнеса, науки, образования и общественных организаций.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>Экспертное сообщество конкурса формирует профессиональную среду оценки проектных инициатив и обеспечивает высокий уровень качества конкурсных процедур.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Номинации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Перечень номинаций конкурса охватывает широкий спектр вопросов социально-экономического развития территорий – </w:t>
        <w:br/>
        <w:t>от образования, науки и технологий до культуры, туризма, экологии, цифровизации и развития городской среды.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Содержание номинаций ежегодно уточняется профильными федеральными органами исполнительной власти и экспертами </w:t>
        <w:br/>
        <w:t>по соответствующим направлениям. Конкурс носит межведомственный характер и интегрирует приоритеты государственной политики в сфере развития регионов и молодежной политики.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b/>
          <w:bCs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</w:rPr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bCs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Номинации XX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val="en-US" w:eastAsia="ru-RU"/>
        </w:rPr>
        <w:t>II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I сезона: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bCs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>«Единство народов моей страны»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bCs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>«Моя семья: преемственность, ценности и смыслы»;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>«Моя гордость. Моя малая родина (мой город, мое село)»;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>«Моя педагогическая инициатива»;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>«Мое здоровье»;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>«Экология моей страны»;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>«Моя гостеприимная Россия»;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>«Интеллектуальная собственность моей страны»;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«Цифровая среда для повышения качества жизни граждан </w:t>
        <w:br/>
        <w:t>в регионах»;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>«Научно-технологическое лидерство моей страны»;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«Моя предпринимательская инициатива. Креативные индустрии </w:t>
        <w:br/>
        <w:t>для развития регионов»;</w:t>
      </w:r>
    </w:p>
    <w:p>
      <w:pPr>
        <w:pStyle w:val="Normal"/>
        <w:spacing w:before="0" w:after="0"/>
        <w:ind w:firstLine="709" w:left="0" w:right="0"/>
        <w:jc w:val="both"/>
        <w:rPr>
          <w:rFonts w:ascii="Times New Roman" w:hAnsi="Times New Roman" w:eastAsia="Times New Roman" w:cs="Times New Roman"/>
          <w:bCs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>Специальная номинация для детей «Сказки народов моей страны».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/>
        <w:drawing>
          <wp:inline distT="0" distB="0" distL="0" distR="0">
            <wp:extent cx="5505450" cy="4129405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412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/>
        <w:drawing>
          <wp:inline distT="0" distB="0" distL="0" distR="0">
            <wp:extent cx="5537200" cy="4153535"/>
            <wp:effectExtent l="0" t="0" r="0" b="0"/>
            <wp:docPr id="3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0" cy="415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ru-RU"/>
        </w:rPr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Возможности для финалистов и победителей:</w:t>
      </w:r>
    </w:p>
    <w:p>
      <w:pPr>
        <w:pStyle w:val="Normal"/>
        <w:tabs>
          <w:tab w:val="clear" w:pos="708"/>
          <w:tab w:val="left" w:pos="425" w:leader="none"/>
        </w:tabs>
        <w:spacing w:before="0" w:after="0"/>
        <w:ind w:hanging="0" w:left="709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i/>
          <w:iCs/>
          <w:sz w:val="30"/>
          <w:szCs w:val="30"/>
        </w:rPr>
        <w:t>– </w:t>
      </w:r>
      <w:r>
        <w:rPr>
          <w:rFonts w:cs="Times New Roman" w:ascii="Times New Roman" w:hAnsi="Times New Roman"/>
          <w:i/>
          <w:iCs/>
          <w:sz w:val="30"/>
          <w:szCs w:val="30"/>
        </w:rPr>
        <w:t xml:space="preserve">информационная поддержка проектов на региональном </w:t>
        <w:br/>
        <w:t>и федеральном уровнях;</w:t>
      </w:r>
    </w:p>
    <w:p>
      <w:pPr>
        <w:pStyle w:val="Normal"/>
        <w:tabs>
          <w:tab w:val="clear" w:pos="708"/>
          <w:tab w:val="left" w:pos="425" w:leader="none"/>
        </w:tabs>
        <w:spacing w:before="0" w:after="0"/>
        <w:ind w:hanging="0" w:left="709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i/>
          <w:iCs/>
          <w:sz w:val="30"/>
          <w:szCs w:val="30"/>
        </w:rPr>
        <w:t>– </w:t>
      </w:r>
      <w:r>
        <w:rPr>
          <w:rFonts w:cs="Times New Roman" w:ascii="Times New Roman" w:hAnsi="Times New Roman"/>
          <w:i/>
          <w:iCs/>
          <w:sz w:val="30"/>
          <w:szCs w:val="30"/>
        </w:rPr>
        <w:t>знакомство и обмен опытом с единомышленниками из разных регионов России;</w:t>
      </w:r>
    </w:p>
    <w:p>
      <w:pPr>
        <w:pStyle w:val="Normal"/>
        <w:tabs>
          <w:tab w:val="clear" w:pos="708"/>
          <w:tab w:val="left" w:pos="425" w:leader="none"/>
        </w:tabs>
        <w:spacing w:before="0" w:after="0"/>
        <w:ind w:hanging="0" w:left="709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i/>
          <w:iCs/>
          <w:sz w:val="30"/>
          <w:szCs w:val="30"/>
        </w:rPr>
        <w:t>– </w:t>
      </w:r>
      <w:r>
        <w:rPr>
          <w:rFonts w:cs="Times New Roman" w:ascii="Times New Roman" w:hAnsi="Times New Roman"/>
          <w:i/>
          <w:iCs/>
          <w:sz w:val="30"/>
          <w:szCs w:val="30"/>
        </w:rPr>
        <w:t>участие в образовательных форумах и программах постконкурсного сопровождения;</w:t>
      </w:r>
    </w:p>
    <w:p>
      <w:pPr>
        <w:pStyle w:val="Normal"/>
        <w:tabs>
          <w:tab w:val="clear" w:pos="708"/>
          <w:tab w:val="left" w:pos="425" w:leader="none"/>
        </w:tabs>
        <w:spacing w:before="0" w:after="0"/>
        <w:ind w:hanging="0" w:left="709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i/>
          <w:iCs/>
          <w:sz w:val="30"/>
          <w:szCs w:val="30"/>
        </w:rPr>
        <w:t>– </w:t>
      </w:r>
      <w:r>
        <w:rPr>
          <w:rFonts w:cs="Times New Roman" w:ascii="Times New Roman" w:hAnsi="Times New Roman"/>
          <w:i/>
          <w:iCs/>
          <w:sz w:val="30"/>
          <w:szCs w:val="30"/>
        </w:rPr>
        <w:t>развитие личных и профессиональных компетенций;</w:t>
      </w:r>
    </w:p>
    <w:p>
      <w:pPr>
        <w:pStyle w:val="Normal"/>
        <w:tabs>
          <w:tab w:val="clear" w:pos="708"/>
          <w:tab w:val="left" w:pos="425" w:leader="none"/>
        </w:tabs>
        <w:spacing w:before="0" w:after="0"/>
        <w:ind w:hanging="0" w:left="709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i/>
          <w:iCs/>
          <w:sz w:val="30"/>
          <w:szCs w:val="30"/>
        </w:rPr>
        <w:t>экспертная поддержка и доработка проектов;</w:t>
      </w:r>
    </w:p>
    <w:p>
      <w:pPr>
        <w:pStyle w:val="Normal"/>
        <w:tabs>
          <w:tab w:val="clear" w:pos="708"/>
          <w:tab w:val="left" w:pos="425" w:leader="none"/>
        </w:tabs>
        <w:spacing w:before="0" w:after="0"/>
        <w:ind w:hanging="0" w:left="709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i/>
          <w:iCs/>
          <w:sz w:val="30"/>
          <w:szCs w:val="30"/>
        </w:rPr>
        <w:t>– </w:t>
      </w:r>
      <w:r>
        <w:rPr>
          <w:rFonts w:cs="Times New Roman" w:ascii="Times New Roman" w:hAnsi="Times New Roman"/>
          <w:i/>
          <w:iCs/>
          <w:sz w:val="30"/>
          <w:szCs w:val="30"/>
        </w:rPr>
        <w:t>участие в поездках и путешествиях по России;</w:t>
      </w:r>
    </w:p>
    <w:p>
      <w:pPr>
        <w:pStyle w:val="Normal"/>
        <w:tabs>
          <w:tab w:val="clear" w:pos="708"/>
          <w:tab w:val="left" w:pos="425" w:leader="none"/>
        </w:tabs>
        <w:spacing w:before="0" w:after="0"/>
        <w:ind w:hanging="0" w:left="709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i/>
          <w:iCs/>
          <w:sz w:val="30"/>
          <w:szCs w:val="30"/>
        </w:rPr>
        <w:t>– </w:t>
      </w:r>
      <w:r>
        <w:rPr>
          <w:rFonts w:cs="Times New Roman" w:ascii="Times New Roman" w:hAnsi="Times New Roman"/>
          <w:i/>
          <w:iCs/>
          <w:sz w:val="30"/>
          <w:szCs w:val="30"/>
        </w:rPr>
        <w:t>грантовая поддержка на реализацию проектов и денежные премии;</w:t>
      </w:r>
    </w:p>
    <w:p>
      <w:pPr>
        <w:pStyle w:val="Normal"/>
        <w:tabs>
          <w:tab w:val="clear" w:pos="708"/>
          <w:tab w:val="left" w:pos="425" w:leader="none"/>
        </w:tabs>
        <w:spacing w:before="0" w:after="0"/>
        <w:ind w:hanging="0" w:left="709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i/>
          <w:iCs/>
          <w:sz w:val="30"/>
          <w:szCs w:val="30"/>
        </w:rPr>
        <w:t>– </w:t>
      </w:r>
      <w:r>
        <w:rPr>
          <w:rFonts w:cs="Times New Roman" w:ascii="Times New Roman" w:hAnsi="Times New Roman"/>
          <w:i/>
          <w:iCs/>
          <w:sz w:val="30"/>
          <w:szCs w:val="30"/>
        </w:rPr>
        <w:t xml:space="preserve">стажировки и возможность трудоустройства </w:t>
        <w:br/>
        <w:t>в организациях-партнёрах;</w:t>
      </w:r>
    </w:p>
    <w:p>
      <w:pPr>
        <w:pStyle w:val="Normal"/>
        <w:tabs>
          <w:tab w:val="clear" w:pos="708"/>
          <w:tab w:val="left" w:pos="425" w:leader="none"/>
        </w:tabs>
        <w:spacing w:before="0" w:after="0"/>
        <w:ind w:hanging="0" w:left="709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i/>
          <w:iCs/>
          <w:sz w:val="30"/>
          <w:szCs w:val="30"/>
        </w:rPr>
        <w:t>– </w:t>
      </w:r>
      <w:r>
        <w:rPr>
          <w:rFonts w:cs="Times New Roman" w:ascii="Times New Roman" w:hAnsi="Times New Roman"/>
          <w:i/>
          <w:iCs/>
          <w:sz w:val="30"/>
          <w:szCs w:val="30"/>
        </w:rPr>
        <w:t>торжественное награждение с участием представителей органов государственной власти;</w:t>
      </w:r>
    </w:p>
    <w:p>
      <w:pPr>
        <w:pStyle w:val="Normal"/>
        <w:tabs>
          <w:tab w:val="clear" w:pos="708"/>
          <w:tab w:val="left" w:pos="425" w:leader="none"/>
        </w:tabs>
        <w:spacing w:before="0" w:after="0"/>
        <w:ind w:hanging="0" w:left="709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i/>
          <w:iCs/>
          <w:sz w:val="30"/>
          <w:szCs w:val="30"/>
        </w:rPr>
        <w:t>– </w:t>
      </w:r>
      <w:r>
        <w:rPr>
          <w:rFonts w:cs="Times New Roman" w:ascii="Times New Roman" w:hAnsi="Times New Roman"/>
          <w:i/>
          <w:iCs/>
          <w:sz w:val="30"/>
          <w:szCs w:val="30"/>
        </w:rPr>
        <w:t>дополнительные баллы при поступлении в образовательные организации высшего образования;</w:t>
      </w:r>
    </w:p>
    <w:p>
      <w:pPr>
        <w:pStyle w:val="Normal"/>
        <w:tabs>
          <w:tab w:val="clear" w:pos="708"/>
          <w:tab w:val="left" w:pos="425" w:leader="none"/>
        </w:tabs>
        <w:spacing w:before="0" w:after="0"/>
        <w:ind w:hanging="0" w:left="709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i/>
          <w:iCs/>
          <w:sz w:val="30"/>
          <w:szCs w:val="30"/>
        </w:rPr>
        <w:t>– </w:t>
      </w:r>
      <w:r>
        <w:rPr>
          <w:rFonts w:cs="Times New Roman" w:ascii="Times New Roman" w:hAnsi="Times New Roman"/>
          <w:i/>
          <w:iCs/>
          <w:sz w:val="30"/>
          <w:szCs w:val="30"/>
        </w:rPr>
        <w:t>вступление в Ассоциацию выпускников конкурса;</w:t>
      </w:r>
    </w:p>
    <w:p>
      <w:pPr>
        <w:pStyle w:val="Normal"/>
        <w:tabs>
          <w:tab w:val="clear" w:pos="708"/>
          <w:tab w:val="left" w:pos="425" w:leader="none"/>
        </w:tabs>
        <w:spacing w:before="0" w:after="0"/>
        <w:ind w:hanging="0" w:left="709" w:right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i/>
          <w:iCs/>
          <w:sz w:val="30"/>
          <w:szCs w:val="30"/>
        </w:rPr>
        <w:t>– </w:t>
      </w:r>
      <w:r>
        <w:rPr>
          <w:rFonts w:cs="Times New Roman" w:ascii="Times New Roman" w:hAnsi="Times New Roman"/>
          <w:i/>
          <w:iCs/>
          <w:sz w:val="30"/>
          <w:szCs w:val="30"/>
        </w:rPr>
        <w:t>интеграция в проекты и программы Президентской платформы Россия – страна возможностей</w:t>
      </w:r>
      <w:r>
        <w:rPr>
          <w:rFonts w:cs="Times New Roman" w:ascii="Times New Roman" w:hAnsi="Times New Roman"/>
          <w:sz w:val="30"/>
          <w:szCs w:val="30"/>
        </w:rPr>
        <w:t>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Список вузов, которые учитывают результаты Всероссийского конкурса молодежных авторских проектов и проектов в сфере образования, направленных на социально-экономическое развитие российских территорий «Моя страна – моя Россия» в рамках учета индивидуальных достижений поступающих: </w:t>
      </w:r>
      <w:hyperlink r:id="rId8" w:tooltip="https://moyastrana.ru/bally-dlya-postuleniya-v-vuz/">
        <w:r>
          <w:rPr>
            <w:rStyle w:val="Hyperlink"/>
            <w:rFonts w:cs="Times New Roman" w:ascii="Times New Roman" w:hAnsi="Times New Roman"/>
            <w:sz w:val="30"/>
            <w:szCs w:val="30"/>
          </w:rPr>
          <w:t>https://moyastrana.ru/bally-dlya-postuleniya-v-vuz/</w:t>
        </w:r>
      </w:hyperlink>
      <w:r>
        <w:rPr>
          <w:rFonts w:cs="Times New Roman" w:ascii="Times New Roman" w:hAnsi="Times New Roman"/>
          <w:sz w:val="30"/>
          <w:szCs w:val="30"/>
        </w:rPr>
        <w:t xml:space="preserve">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Путь участника конкурса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1 этап – заявочная кампания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На первом этапе участники проходят регистрацию и размещают свои проекты на официальном сайте конкурса. Заполняется электронная заявка и загружаются материалы в соответствии </w:t>
        <w:br/>
        <w:t xml:space="preserve">с требованиями выбранной номинации. В результате формируется общий пул конкурсных проектов, отражающий актуальные запросы </w:t>
        <w:br/>
        <w:t>и инициативы из регионов.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2 этап – заочная экспертиза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В рамках второго этапа проводится заочная экспертная оценка конкурсных работ. Проекты анализируются профильными экспертами по утверждённым критериям. По итогам экспертизы определяются </w:t>
      </w:r>
      <w:r>
        <w:rPr>
          <w:rFonts w:cs="Times New Roman" w:ascii="Times New Roman" w:hAnsi="Times New Roman"/>
          <w:b/>
          <w:bCs/>
          <w:sz w:val="30"/>
          <w:szCs w:val="30"/>
        </w:rPr>
        <w:t>300 финалистов</w:t>
      </w:r>
      <w:r>
        <w:rPr>
          <w:rFonts w:cs="Times New Roman" w:ascii="Times New Roman" w:hAnsi="Times New Roman"/>
          <w:sz w:val="30"/>
          <w:szCs w:val="30"/>
        </w:rPr>
        <w:t>, которые допускаются к следующему этапу и приступают к подготовке к защите своих проектов.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3 этап – защиты проектов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На третьем этапе финалисты представляют свои проекты </w:t>
        <w:br/>
        <w:t xml:space="preserve">в формате дистанционных защит с использованием информационно-коммуникационных технологий. Авторы презентуют инициативы, отвечают на вопросы экспертного сообщества и демонстрируют уровень проработанности, практическую реализуемость и социальную значимость своих проектов. По итогам защит определяются </w:t>
        <w:br/>
      </w:r>
      <w:r>
        <w:rPr>
          <w:rFonts w:cs="Times New Roman" w:ascii="Times New Roman" w:hAnsi="Times New Roman"/>
          <w:b/>
          <w:bCs/>
          <w:sz w:val="30"/>
          <w:szCs w:val="30"/>
        </w:rPr>
        <w:t>24 победителя и 48 призёров конкурса.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</w:rPr>
        <w:t>4 этап – подведение итогов и награждение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  <w:t xml:space="preserve">Завершающий этап включает подведение итогов конкурса </w:t>
        <w:br/>
        <w:t xml:space="preserve">и торжественное награждение победителей и призёров. Лучшие проекты получают признание на федеральном уровне, </w:t>
        <w:br/>
        <w:t>а их авторы – возможность дальнейшего постконкурсного сопровождения и участия в образовательных и экспертных программах.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</w:r>
    </w:p>
    <w:p>
      <w:pPr>
        <w:pStyle w:val="Normal"/>
        <w:spacing w:before="0" w:after="0"/>
        <w:ind w:hanging="0" w:left="0" w:right="0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6108700" cy="4581525"/>
            <wp:effectExtent l="0" t="0" r="0" b="0"/>
            <wp:docPr id="4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0" cy="458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bCs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Традиционно в конкурсе принимают участие молодые люди </w:t>
        <w:br/>
      </w:r>
      <w:r>
        <w:rPr>
          <w:rFonts w:eastAsia="Times New Roman" w:cs="Times New Roman" w:ascii="Times New Roman" w:hAnsi="Times New Roman"/>
          <w:b/>
          <w:color w:val="000000"/>
          <w:sz w:val="30"/>
          <w:szCs w:val="30"/>
          <w:lang w:eastAsia="ru-RU"/>
        </w:rPr>
        <w:t>от 14 до 35 лет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>, представляя авторские проекты, которые направлены на социально-экономическое развитие малых городов и сел, в двух номинациях – «Моя педагогическая инициатива» и «Моя семья: преемственность, ценности и смыслы» нет возрастных ограничений. ХХ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val="en-US" w:eastAsia="ru-RU"/>
        </w:rPr>
        <w:t>II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I сезон проходит в 12 номинациях для взрослых и специальной номинации для детей до 13 лет – </w:t>
      </w:r>
      <w:r>
        <w:rPr>
          <w:rFonts w:eastAsia="Times New Roman" w:cs="Times New Roman" w:ascii="Times New Roman" w:hAnsi="Times New Roman"/>
          <w:b/>
          <w:color w:val="000000"/>
          <w:sz w:val="30"/>
          <w:szCs w:val="30"/>
          <w:lang w:eastAsia="ru-RU"/>
        </w:rPr>
        <w:t>«Сказки народов моей страны»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>.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Ежегодно содержание номинаций согласовывается с профильными министерствами и федеральными ведомствами. Так, в 2026 году </w:t>
        <w:br/>
        <w:t>в конкурсе реализуется номинация, приуроченная к Году единства народов России –</w:t>
      </w:r>
      <w:bookmarkStart w:id="0" w:name="_GoBack"/>
      <w:bookmarkEnd w:id="0"/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30"/>
          <w:szCs w:val="30"/>
          <w:lang w:eastAsia="ru-RU"/>
        </w:rPr>
        <w:t>«Единство народов моей страны»</w:t>
      </w:r>
      <w:r>
        <w:rPr>
          <w:rFonts w:eastAsia="Times New Roman" w:cs="Times New Roman" w:ascii="Times New Roman" w:hAnsi="Times New Roman"/>
          <w:bCs/>
          <w:color w:val="000000"/>
          <w:sz w:val="30"/>
          <w:szCs w:val="30"/>
          <w:lang w:eastAsia="ru-RU"/>
        </w:rPr>
        <w:t xml:space="preserve">. Номинация включает проекты, направленные на: формирование общероссийской гражданской идентичности, духовно-нравственное и патриотическое воспитание детей и молодежи; популяризацию российских традиционных духовно-нравственных ценностей, в том числе </w:t>
        <w:br/>
        <w:t>в контексте национальных, культурных и исторических особенностей территорий; реализацию практик, способствующих укреплению единства народов России.</w:t>
      </w:r>
    </w:p>
    <w:p>
      <w:pPr>
        <w:pStyle w:val="docdata"/>
        <w:spacing w:lineRule="atLeast" w:line="235" w:beforeAutospacing="0" w:before="0" w:afterAutospacing="0" w:after="0"/>
        <w:jc w:val="both"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</w:r>
    </w:p>
    <w:p>
      <w:pPr>
        <w:pStyle w:val="Normal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/>
        <w:drawing>
          <wp:inline distT="0" distB="0" distL="0" distR="0">
            <wp:extent cx="6197600" cy="4648835"/>
            <wp:effectExtent l="0" t="0" r="0" b="0"/>
            <wp:docPr id="5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docdata"/>
        <w:spacing w:lineRule="atLeast" w:line="235" w:beforeAutospacing="0" w:before="0" w:afterAutospacing="0" w:after="0"/>
        <w:ind w:firstLine="708"/>
        <w:jc w:val="both"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 xml:space="preserve">О </w:t>
      </w:r>
      <w:r>
        <w:rPr>
          <w:b/>
          <w:bCs/>
          <w:color w:val="000000"/>
          <w:sz w:val="30"/>
          <w:szCs w:val="30"/>
          <w:lang w:val="en-US"/>
        </w:rPr>
        <w:t>XXII</w:t>
      </w:r>
      <w:r>
        <w:rPr>
          <w:b/>
          <w:bCs/>
          <w:color w:val="000000"/>
          <w:sz w:val="30"/>
          <w:szCs w:val="30"/>
        </w:rPr>
        <w:t xml:space="preserve"> сезоне конкурса</w:t>
      </w:r>
    </w:p>
    <w:p>
      <w:pPr>
        <w:pStyle w:val="docdata"/>
        <w:spacing w:lineRule="atLeast" w:line="235" w:beforeAutospacing="0" w:before="0" w:afterAutospacing="0" w:after="0"/>
        <w:jc w:val="both"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</w:r>
    </w:p>
    <w:p>
      <w:pPr>
        <w:pStyle w:val="docdata"/>
        <w:spacing w:lineRule="atLeast" w:line="235" w:beforeAutospacing="0" w:before="0" w:afterAutospacing="0" w:after="0"/>
        <w:ind w:firstLine="708"/>
        <w:jc w:val="both"/>
        <w:rPr>
          <w:sz w:val="30"/>
          <w:szCs w:val="30"/>
        </w:rPr>
      </w:pPr>
      <w:r>
        <w:rPr>
          <w:color w:val="000000"/>
          <w:sz w:val="30"/>
          <w:szCs w:val="30"/>
        </w:rPr>
        <w:t>По итогам заявочной кампании 2025 года участниками конкурса стали 74 369 человек из 89 регионов Российской Федерации.</w:t>
      </w:r>
      <w:bookmarkStart w:id="1" w:name="_volbwbm985nf"/>
      <w:bookmarkEnd w:id="1"/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/>
          <w:color w:val="000000"/>
          <w:sz w:val="24"/>
          <w:szCs w:val="24"/>
        </w:rPr>
      </w:pPr>
      <w:r>
        <w:rPr/>
        <w:drawing>
          <wp:inline distT="0" distB="0" distL="0" distR="0">
            <wp:extent cx="6197600" cy="3486785"/>
            <wp:effectExtent l="0" t="0" r="0" b="0"/>
            <wp:docPr id="6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3486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spacing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docdata"/>
        <w:spacing w:beforeAutospacing="0" w:before="0" w:afterAutospacing="0" w:after="0"/>
        <w:ind w:firstLine="708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В 2026 году финалисты проекта «Моя страна — моя Россия» получат особую возможность </w:t>
      </w:r>
      <w:r>
        <w:rPr>
          <w:b/>
          <w:bCs/>
          <w:color w:val="000000"/>
          <w:sz w:val="30"/>
          <w:szCs w:val="30"/>
        </w:rPr>
        <w:t>подать заявку на грантовый конкурс Росмолодёжи и получить грант до 1,5 млн рублей</w:t>
      </w:r>
      <w:r>
        <w:rPr>
          <w:color w:val="000000"/>
          <w:sz w:val="30"/>
          <w:szCs w:val="30"/>
        </w:rPr>
        <w:t xml:space="preserve"> на реализацию своих инициатив. </w:t>
      </w:r>
    </w:p>
    <w:p>
      <w:pPr>
        <w:pStyle w:val="NormalWeb"/>
        <w:spacing w:beforeAutospacing="0" w:before="0" w:afterAutospacing="0" w:after="0"/>
        <w:ind w:firstLine="708"/>
        <w:jc w:val="both"/>
        <w:rPr>
          <w:sz w:val="30"/>
          <w:szCs w:val="30"/>
        </w:rPr>
      </w:pPr>
      <w:r>
        <w:rPr>
          <w:color w:val="000000"/>
          <w:sz w:val="30"/>
          <w:szCs w:val="30"/>
        </w:rPr>
        <w:t xml:space="preserve">Для финалистов основной возрастной категории – </w:t>
      </w:r>
      <w:r>
        <w:rPr>
          <w:b/>
          <w:bCs/>
          <w:color w:val="000000"/>
          <w:sz w:val="30"/>
          <w:szCs w:val="30"/>
        </w:rPr>
        <w:t>18-35</w:t>
      </w:r>
      <w:r>
        <w:rPr>
          <w:color w:val="000000"/>
          <w:sz w:val="30"/>
          <w:szCs w:val="30"/>
        </w:rPr>
        <w:t xml:space="preserve"> лет, запланирован просветительский интенсив </w:t>
      </w:r>
      <w:r>
        <w:rPr>
          <w:b/>
          <w:bCs/>
          <w:color w:val="000000"/>
          <w:sz w:val="30"/>
          <w:szCs w:val="30"/>
        </w:rPr>
        <w:t xml:space="preserve">«Управление проектами </w:t>
      </w:r>
      <w:r>
        <w:rPr>
          <w:b/>
          <w:bCs/>
          <w:color w:val="000000"/>
          <w:sz w:val="30"/>
          <w:szCs w:val="30"/>
        </w:rPr>
        <w:br w:type="textWrapping" w:clear="all"/>
      </w:r>
      <w:r>
        <w:rPr>
          <w:b/>
          <w:bCs/>
          <w:color w:val="000000"/>
          <w:sz w:val="30"/>
          <w:szCs w:val="30"/>
        </w:rPr>
        <w:t>и развитие территорий» в Центре знаний «Машук»,</w:t>
      </w:r>
      <w:r>
        <w:rPr>
          <w:color w:val="000000"/>
          <w:sz w:val="30"/>
          <w:szCs w:val="30"/>
        </w:rPr>
        <w:t xml:space="preserve"> </w:t>
        <w:br/>
        <w:t xml:space="preserve">а для подростков </w:t>
      </w:r>
      <w:r>
        <w:rPr>
          <w:b/>
          <w:bCs/>
          <w:color w:val="000000"/>
          <w:sz w:val="30"/>
          <w:szCs w:val="30"/>
        </w:rPr>
        <w:t xml:space="preserve">14-17, </w:t>
      </w:r>
      <w:r>
        <w:rPr>
          <w:color w:val="000000"/>
          <w:sz w:val="30"/>
          <w:szCs w:val="30"/>
        </w:rPr>
        <w:t xml:space="preserve">призеров и победителей конкурса предусмотрено обучение в </w:t>
      </w:r>
      <w:r>
        <w:rPr>
          <w:b/>
          <w:bCs/>
          <w:color w:val="000000"/>
          <w:sz w:val="30"/>
          <w:szCs w:val="30"/>
        </w:rPr>
        <w:t xml:space="preserve">Междисциплинарной проектной школе «Моя страна – моя Россия» во Всероссийском детском центре «Океан». </w:t>
      </w:r>
    </w:p>
    <w:p>
      <w:pPr>
        <w:pStyle w:val="NormalWeb"/>
        <w:spacing w:beforeAutospacing="0" w:before="0" w:afterAutospacing="0" w:after="0"/>
        <w:jc w:val="both"/>
        <w:rPr>
          <w:sz w:val="30"/>
          <w:szCs w:val="30"/>
        </w:rPr>
      </w:pPr>
      <w:r>
        <w:rPr>
          <w:color w:val="000000"/>
          <w:sz w:val="30"/>
          <w:szCs w:val="30"/>
        </w:rPr>
        <w:t> </w:t>
      </w:r>
    </w:p>
    <w:p>
      <w:pPr>
        <w:pStyle w:val="11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>
          <w:rFonts w:ascii="Times New Roman" w:hAnsi="Times New Roman" w:eastAsia="Times New Roman" w:cs="Times New Roman"/>
          <w:b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b/>
          <w:color w:val="000000"/>
          <w:sz w:val="30"/>
          <w:szCs w:val="30"/>
        </w:rPr>
        <w:t>ФИНАЛИСТЫ</w:t>
      </w:r>
    </w:p>
    <w:p>
      <w:pPr>
        <w:pStyle w:val="11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>
          <w:rFonts w:ascii="Times New Roman" w:hAnsi="Times New Roman" w:eastAsia="Times New Roman" w:cs="Times New Roman"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</w:rPr>
        <w:t>300 участников прошли в очный этап конкурса:</w:t>
      </w:r>
    </w:p>
    <w:p>
      <w:pPr>
        <w:pStyle w:val="11"/>
        <w:widowControl w:val="false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</w:rPr>
        <w:t>170 в возрасте от 18 лет</w:t>
      </w:r>
    </w:p>
    <w:p>
      <w:pPr>
        <w:pStyle w:val="11"/>
        <w:widowControl w:val="false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</w:rPr>
        <w:t>130 в возрасте до 18 лет</w:t>
      </w:r>
    </w:p>
    <w:p>
      <w:pPr>
        <w:pStyle w:val="11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>
          <w:rFonts w:ascii="Times New Roman" w:hAnsi="Times New Roman" w:eastAsia="Times New Roman" w:cs="Times New Roman"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</w:rPr>
      </w:r>
    </w:p>
    <w:p>
      <w:pPr>
        <w:pStyle w:val="11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>
          <w:rFonts w:ascii="Times New Roman" w:hAnsi="Times New Roman" w:eastAsia="Times New Roman" w:cs="Times New Roman"/>
          <w:b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b/>
          <w:color w:val="000000"/>
          <w:sz w:val="30"/>
          <w:szCs w:val="30"/>
        </w:rPr>
        <w:t>ПОБЕДИТЕЛИ</w:t>
      </w:r>
    </w:p>
    <w:p>
      <w:pPr>
        <w:pStyle w:val="11"/>
        <w:widowControl w:val="false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276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</w:rPr>
        <w:t>24 человека ежегодно становятся победителями конкурса в своей номинации</w:t>
      </w:r>
    </w:p>
    <w:p>
      <w:pPr>
        <w:pStyle w:val="11"/>
        <w:widowControl w:val="false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276" w:before="0" w:after="0"/>
        <w:jc w:val="both"/>
        <w:rPr>
          <w:rFonts w:ascii="Times New Roman" w:hAnsi="Times New Roman" w:eastAsia="Times New Roman" w:cs="Times New Roman"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</w:rPr>
        <w:t>100 человек в возрасте до 13 лет (Специальная номинация «Сказки народов моей страны»)</w:t>
      </w:r>
    </w:p>
    <w:p>
      <w:pPr>
        <w:pStyle w:val="11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>
          <w:rFonts w:ascii="Times New Roman" w:hAnsi="Times New Roman" w:eastAsia="Times New Roman" w:cs="Times New Roman"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</w:rPr>
      </w:r>
    </w:p>
    <w:p>
      <w:pPr>
        <w:pStyle w:val="11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>
          <w:rFonts w:ascii="Times New Roman" w:hAnsi="Times New Roman" w:eastAsia="Times New Roman" w:cs="Times New Roman"/>
          <w:b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b/>
          <w:color w:val="000000"/>
          <w:sz w:val="30"/>
          <w:szCs w:val="30"/>
        </w:rPr>
        <w:t>ЭКСПЕРТЫ</w:t>
      </w:r>
    </w:p>
    <w:p>
      <w:pPr>
        <w:pStyle w:val="11"/>
        <w:widowControl w:val="false"/>
        <w:numPr>
          <w:ilvl w:val="0"/>
          <w:numId w:val="3"/>
        </w:numPr>
        <w:tabs>
          <w:tab w:val="clear" w:pos="708"/>
          <w:tab w:val="left" w:pos="1134" w:leader="none"/>
        </w:tabs>
        <w:spacing w:lineRule="auto" w:line="276"/>
        <w:jc w:val="both"/>
        <w:rPr>
          <w:rFonts w:ascii="Times New Roman" w:hAnsi="Times New Roman" w:eastAsia="Times New Roman" w:cs="Times New Roman"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</w:rPr>
        <w:t>3 116 человек изъявили желание стать экспертами и подали заявки на конкурс экспертов в 2025 году</w:t>
      </w:r>
    </w:p>
    <w:p>
      <w:pPr>
        <w:pStyle w:val="Normal"/>
        <w:spacing w:lineRule="atLeast" w:line="65" w:before="0" w:after="0"/>
        <w:ind w:firstLine="709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 xml:space="preserve">Продолжением основного конкурса для участников номинации 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«Моя педагогическая инициатива» являются Всероссийские педагогические чтения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 xml:space="preserve">. Они выступают открытой площадкой для профессионального гражданского диалога представителей органов государственной власти, экспертного, научного и профессионального сообществ и ресурсной инициативной молодежи, занятой в социально-педагогической сфере. </w:t>
      </w:r>
    </w:p>
    <w:p>
      <w:pPr>
        <w:pStyle w:val="Normal"/>
        <w:spacing w:lineRule="auto" w:line="240" w:before="120" w:after="120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>Ежегодно конкурс поддерживают партнеры: 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Совет Федерации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Фонд президентских грантов,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> 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Министерство науки и высшего образования Российской Федерации,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> 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Росконгресс,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> 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Российскую академию образования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Федеральное агентство по делам молодежи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Российское движение детей и молодежи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Роспатент.</w:t>
      </w:r>
    </w:p>
    <w:p>
      <w:pPr>
        <w:pStyle w:val="Normal"/>
        <w:spacing w:lineRule="auto" w:line="240" w:before="120" w:after="120"/>
        <w:ind w:firstLine="708"/>
        <w:jc w:val="both"/>
        <w:rPr>
          <w:rFonts w:ascii="Times New Roman" w:hAnsi="Times New Roman" w:eastAsia="Times New Roman" w:cs="Times New Roman"/>
          <w:color w:val="000000"/>
          <w:sz w:val="30"/>
          <w:szCs w:val="30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 xml:space="preserve">Конкурсанты, чьи проекты признаны наиболее актуальными </w:t>
        <w:br/>
        <w:t xml:space="preserve">и востребованными, получают сопровождение и поддержку </w:t>
        <w:br/>
        <w:t xml:space="preserve">в реализации их инициатив, образовательные гранты и льготы </w:t>
        <w:br/>
        <w:t xml:space="preserve">при поступлении в российские вузы, возможность пройти программу дополнительного образования, приглашение на стажировку </w:t>
        <w:br/>
        <w:t xml:space="preserve">или трудоустройство в крупные российские компании, возможность получить наставников и дополнительные баллы к ЕГЭ </w:t>
        <w:br/>
        <w:t>или вступительным испытаниям на программы бакалавриата, магистратуры и аспирантуры. Ежегодно Совет Федерации направляет письма на главы субъектов с просьбой поддержать инициативы победителей конкурса в родном регионе.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/>
        <w:drawing>
          <wp:inline distT="0" distB="0" distL="0" distR="0">
            <wp:extent cx="5543550" cy="4157980"/>
            <wp:effectExtent l="0" t="0" r="0" b="0"/>
            <wp:docPr id="7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415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 xml:space="preserve">Конкурс «Моя страна – моя Россия» давно вышел за рамки только конкурсных мероприятий: 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это сообщество экспертов, педагогов-новаторов, мотивированной молодежи и их родителей, ориентированных на субъектное участие в развитии российских городов и сел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 xml:space="preserve">. Конкурс создает возможности не только для выявления инициативной молодежи, но и для формирования </w:t>
      </w: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молодых управленческих команд,</w:t>
      </w:r>
      <w:r>
        <w:rPr>
          <w:rFonts w:eastAsia="Times New Roman" w:cs="Times New Roman" w:ascii="Times New Roman" w:hAnsi="Times New Roman"/>
          <w:color w:val="000000"/>
          <w:sz w:val="30"/>
          <w:szCs w:val="30"/>
          <w:lang w:eastAsia="ru-RU"/>
        </w:rPr>
        <w:t xml:space="preserve"> которые в дальнейшем могут стать основой развития российских территорий (это заложено в методологии конкурсных мероприятий, в системе критериев оценки).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i/>
          <w:i/>
          <w:sz w:val="24"/>
          <w:szCs w:val="24"/>
        </w:rPr>
      </w:pPr>
      <w:r>
        <w:rPr/>
        <w:drawing>
          <wp:inline distT="0" distB="0" distL="0" distR="0">
            <wp:extent cx="5334000" cy="4000500"/>
            <wp:effectExtent l="0" t="0" r="0" b="0"/>
            <wp:docPr id="8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0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firstLine="567"/>
        <w:jc w:val="center"/>
        <w:rPr>
          <w:rFonts w:ascii="Times New Roman" w:hAnsi="Times New Roman" w:cs="Times New Roman"/>
          <w:b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 xml:space="preserve">Яркие истории успеха участников Всероссийского конкурса </w:t>
        <w:br/>
        <w:t xml:space="preserve">«Моя страна – моя Россия» </w:t>
      </w:r>
    </w:p>
    <w:p>
      <w:pPr>
        <w:pStyle w:val="Normal"/>
        <w:pBdr/>
        <w:spacing w:before="0" w:after="120"/>
        <w:ind w:firstLine="567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/>
          <w:color w:val="000000"/>
          <w:sz w:val="24"/>
          <w:szCs w:val="24"/>
        </w:rPr>
        <w:t>Павел Бережанский</w:t>
      </w: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>, заведующий пульмонологическим отделением Морозовской детской больницы, кандидат медицинских наук и отец четверых детей. Павел становился победителем Всероссийского конкурса «Моя страна – моя Россия» дважды – в XVI и XVII сезонах, представив компактный программно-аппаратный комплекс ранней диагностики и мониторинга аллергических заболеваний у детей на этапе отсутствия клинических проявлений с помощью визуализации микрокровотока человека.  Комплекс уже сегодня внедрен в сельских амбулаториях Московской области и позволяет проводить диагностику пациентов дистанционно, что особенно ценно</w:t>
        <w:br/>
        <w:t>в нынешней обстановке. В нынешнем году Павел Бережанский вошел в состав Организационного комитета XVIII сезона Всероссийского конкурса «Моя страна – моя Россия», став куратором экспертов номинации «Моё здоровье».</w:t>
      </w:r>
      <w:r>
        <w:rPr>
          <w:rFonts w:cs="Times New Roman" w:ascii="Times New Roman" w:hAnsi="Times New Roman"/>
          <w:i/>
          <w:sz w:val="24"/>
          <w:szCs w:val="24"/>
        </w:rPr>
        <w:t xml:space="preserve">В период пандемии Павел присоединился к всероссийской акции #МыВместе, одним из организаторов которой является Общероссийский Народный фронт. Выпускник конкурса «Моя страна – моя Россия» организовал собственную «Горячую линию» в социальных сетях, </w:t>
        <w:br/>
        <w:t>где отвечал на поступающие вопросы, принимал участие в работе волонтёрского штаба – собирал продуктовые наборы, покупал и развозил лекарства и предметы первой необходимости. Так как приемы в поликлиниках были прекращены, после работы врач-педиатр проводил ежемесячные осмотры здоровых детей, приезжая к ним домой.</w:t>
      </w: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</w:rPr>
        <w:t>5 декабря 2021 года, в Международный день добровольчества</w:t>
      </w:r>
      <w:r>
        <w:rPr>
          <w:rFonts w:cs="Times New Roman" w:ascii="Times New Roman" w:hAnsi="Times New Roman"/>
          <w:b/>
          <w:bCs/>
          <w:i/>
          <w:sz w:val="24"/>
          <w:szCs w:val="24"/>
        </w:rPr>
        <w:t>, Павел Бережанский</w:t>
      </w:r>
      <w:r>
        <w:rPr>
          <w:rFonts w:cs="Times New Roman" w:ascii="Times New Roman" w:hAnsi="Times New Roman"/>
          <w:i/>
          <w:sz w:val="24"/>
          <w:szCs w:val="24"/>
        </w:rPr>
        <w:t xml:space="preserve"> был признан волонтёром года и получил медаль Международной премии «Мы вместе» из рук Президента Российской Федерации </w:t>
      </w:r>
      <w:r>
        <w:rPr>
          <w:rFonts w:cs="Times New Roman" w:ascii="Times New Roman" w:hAnsi="Times New Roman"/>
          <w:b/>
          <w:bCs/>
          <w:i/>
          <w:sz w:val="24"/>
          <w:szCs w:val="24"/>
        </w:rPr>
        <w:t>Владимира Путина</w:t>
      </w:r>
      <w:r>
        <w:rPr>
          <w:rFonts w:cs="Times New Roman" w:ascii="Times New Roman" w:hAnsi="Times New Roman"/>
          <w:i/>
          <w:sz w:val="24"/>
          <w:szCs w:val="24"/>
        </w:rPr>
        <w:t xml:space="preserve">.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Зайнодин Расулов</w:t>
      </w:r>
      <w:r>
        <w:rPr>
          <w:rFonts w:cs="Times New Roman" w:ascii="Times New Roman" w:hAnsi="Times New Roman"/>
          <w:i/>
          <w:sz w:val="24"/>
          <w:szCs w:val="24"/>
        </w:rPr>
        <w:t xml:space="preserve">, ассистент Балтийского государственного технического университета «ВОЕНМЕХ» им. Д.Ф. Устинова, трижды победитель Всероссийского конкурса «Моя страна – моя Россия». Зайнодин – автор проекта по популяризации инновационных технологий и инженерии среди школьников горных сел Дагестана. </w:t>
        <w:br/>
        <w:t xml:space="preserve">В рамках проекта команда Университета проводит выездные занятия в отдавленных горных районах Республики Дагестан по профориентации, 3D-моделированию </w:t>
        <w:br/>
        <w:t xml:space="preserve">и прототипированию для местных школьников 8-11 классов.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Никита Россов</w:t>
      </w:r>
      <w:r>
        <w:rPr>
          <w:rFonts w:cs="Times New Roman" w:ascii="Times New Roman" w:hAnsi="Times New Roman"/>
          <w:bCs/>
          <w:i/>
          <w:sz w:val="24"/>
          <w:szCs w:val="24"/>
        </w:rPr>
        <w:t xml:space="preserve">, предприниматель из Иркутской области стал победителем Всероссийского конкурса «Моя страна – моя Россия» с проектом «Сыроварня Милаша». Автор проекта, в прошлом видеооператор и выпускник Иркутского филиала ВГИК, переехал в деревню и за 3 года превратил маленькую семейную кухню </w:t>
        <w:br/>
        <w:t xml:space="preserve">в профессиональную сыроварню, производящую более 3,6 тонн сыра в год. Предприятие полностью работает на импортозамещение, всего в ассортименте более 18 видов сыра. К сегодняшнему дню предприятие сотрудничает более чем с 15 гидами, привлекая туристов через гастрономические путешествия. Это полуторачасовая программа </w:t>
        <w:br/>
        <w:t xml:space="preserve">с элементами медитации и готовки.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i/>
          <w:sz w:val="24"/>
          <w:szCs w:val="24"/>
        </w:rPr>
        <w:t xml:space="preserve">На Петербургском международном экономическом форуме, где проходило награждение победителей Конкурса, Никита познакомился с представителями Иркутской нефтяной компании и в сентябре 2022 года стал их партнёром </w:t>
        <w:br/>
        <w:t xml:space="preserve">в организации молодёжного дня «Байкальского Риск-форума», одного из крупнейших мероприятий региона. Также по инициативе конкурса «Моя страна – моя Россия» был снят ролик о Сыроварне, который заинтересован губернатора Иркутской области </w:t>
        <w:br/>
        <w:t>и в декабре 2022 года Никита Россов был назначен дублёром министра сельского хозяйства при молодёжном правительстве Иркутской области.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Алина Ращупкина</w:t>
      </w:r>
      <w:r>
        <w:rPr>
          <w:rFonts w:cs="Times New Roman" w:ascii="Times New Roman" w:hAnsi="Times New Roman"/>
          <w:i/>
          <w:sz w:val="24"/>
          <w:szCs w:val="24"/>
        </w:rPr>
        <w:t xml:space="preserve">, член Всероссийской организации родителей детей-инвалидов, представила проект «Теплее вместе», направленный на поддержку семей, воспитывающих детей с особенностями развития и здоровья. Вместе с командой Алина организует ресурсные встречи для женщин, семейные инклюзивные мероприятия </w:t>
        <w:br/>
        <w:t>в городских локациях, познавательные экскурсии, творческие мастер-классы,</w:t>
        <w:br/>
        <w:t xml:space="preserve">где каждая мама, которая в силу обстоятельств не имеет возможности работать, может найти для себя способы самореализации и хобби, которые в дальнейшем могут стать для нее источником дохода дома. С 2020 года проект объединился </w:t>
        <w:br/>
        <w:t xml:space="preserve">с психологической студией и вместе организуем проект групповой психологической поддержки для мам детей с особыми потребностями. В планах – запуск виртуального пространство для информационной поддержки семей, к которых воспитываются дети с особыми потребностями – серия видео-диалогов и подкастов с профессионалами из общественных и государственных организаций, сферы медицины и реабилитации. </w:t>
        <w:br/>
        <w:t>В 2022 году, после победы во Всероссийском конкурсе «Моя страна – моя Россия», Алина получила за свой проект премию «Сноб» в номинации «Теория и практика важных дел».</w:t>
      </w:r>
    </w:p>
    <w:p>
      <w:pPr>
        <w:pStyle w:val="Normal"/>
        <w:pBdr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Arial Unicode MS" w:cs="Times New Roman"/>
          <w:bCs/>
          <w:i/>
          <w:i/>
          <w:sz w:val="24"/>
          <w:szCs w:val="24"/>
        </w:rPr>
      </w:pPr>
      <w:r>
        <w:rPr>
          <w:rFonts w:eastAsia="Arial Unicode MS" w:cs="Times New Roman" w:ascii="Times New Roman" w:hAnsi="Times New Roman"/>
          <w:b/>
          <w:i/>
          <w:sz w:val="24"/>
          <w:szCs w:val="24"/>
        </w:rPr>
        <w:t>Артем Ослопов</w:t>
      </w:r>
      <w:r>
        <w:rPr>
          <w:rFonts w:eastAsia="Arial Unicode MS" w:cs="Times New Roman" w:ascii="Times New Roman" w:hAnsi="Times New Roman"/>
          <w:bCs/>
          <w:i/>
          <w:sz w:val="24"/>
          <w:szCs w:val="24"/>
        </w:rPr>
        <w:t xml:space="preserve"> из поселка Тикси – самого северного населённого пункта Якутии, занял I место в номинации «Мой Дальний Восток. Моя Арктика» с проектом «TiksiWeather». Проект направлен на осведомление жителей Арктики </w:t>
        <w:br/>
        <w:t xml:space="preserve">об экстремальных погодных условиях через приложение на телефоне. Проект обеспечит своевременное оповещение жителей Арктики, что поможет им сохранить жизнь и здоровье в особых климатических условиях региона. После победы в конкурсе проект был поддержан в регионе, инициатива привлекла внимание Минвостокразвития России, авторам удалось найти поддержку инвесторов и установить первую метеостанцию в поселке Тикси. В январе 2024 года по инициативе Министерства состоялась встреча с авторами лучших проектов Конкурса в номинации «Мой Дальний Восток. Моя Арктика», на которой Артем Ослопов презентовал проект и рассказал </w:t>
        <w:br/>
        <w:t>о планах его развития министру по развитию Дальнего Востока и Арктики РФ Алексею Чекункову. Глава ведомства поручил оказать поддержку проекта в Якутии. Версию приложения, доступную всем желающим, можно будет скачать уже летом 2024 года, после завершения заключительных этапов тестирования.</w:t>
      </w:r>
    </w:p>
    <w:p>
      <w:pPr>
        <w:pStyle w:val="Normal"/>
        <w:pBdr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Arial Unicode MS" w:cs="Times New Roman"/>
          <w:bCs/>
          <w:i/>
          <w:i/>
          <w:sz w:val="24"/>
          <w:szCs w:val="24"/>
        </w:rPr>
      </w:pPr>
      <w:r>
        <w:rPr>
          <w:rFonts w:eastAsia="Arial Unicode MS" w:cs="Times New Roman" w:ascii="Times New Roman" w:hAnsi="Times New Roman"/>
          <w:b/>
          <w:bCs/>
          <w:i/>
          <w:sz w:val="24"/>
          <w:szCs w:val="24"/>
        </w:rPr>
        <w:t>Елена Максимова,</w:t>
      </w:r>
      <w:r>
        <w:rPr>
          <w:rFonts w:eastAsia="Arial Unicode MS" w:cs="Times New Roman" w:ascii="Times New Roman" w:hAnsi="Times New Roman"/>
          <w:bCs/>
          <w:i/>
          <w:sz w:val="24"/>
          <w:szCs w:val="24"/>
        </w:rPr>
        <w:t xml:space="preserve"> выпускница конкурса и победительница XX сезона, в марте 2024 года представила свою инновационную разработку – искусственный интеллект «Доктор жест» (справочно: «Доктор жест» – приложение для мобильных устройств, которое собирает у пациента данные о симптомах и жалобах, после чего передает </w:t>
        <w:br/>
        <w:t>их врачу до приема) Министру здравоохранения Российской Федерации Михаилу Мурашко, который высоко оценил значимость проекта и заручил поддержкой со стороны медицинского сообщества.</w:t>
      </w:r>
    </w:p>
    <w:sectPr>
      <w:headerReference w:type="even" r:id="rId14"/>
      <w:headerReference w:type="default" r:id="rId15"/>
      <w:headerReference w:type="first" r:id="rId16"/>
      <w:type w:val="nextPage"/>
      <w:pgSz w:w="11906" w:h="16838"/>
      <w:pgMar w:left="1417" w:right="1417" w:gutter="0" w:header="708" w:top="1417" w:footer="0" w:bottom="1134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  <w:sz w:val="24"/>
      </w:rPr>
    </w:pPr>
    <w:r>
      <w:rPr>
        <w:rFonts w:cs="Times New Roman" w:ascii="Times New Roman" w:hAnsi="Times New Roman"/>
        <w:sz w:val="24"/>
      </w:rPr>
      <w:fldChar w:fldCharType="begin"/>
    </w:r>
    <w:r>
      <w:rPr>
        <w:sz w:val="24"/>
        <w:rFonts w:cs="Times New Roman" w:ascii="Times New Roman" w:hAnsi="Times New Roman"/>
      </w:rPr>
      <w:instrText xml:space="preserve"> PAGE </w:instrText>
    </w:r>
    <w:r>
      <w:rPr>
        <w:sz w:val="24"/>
        <w:rFonts w:cs="Times New Roman" w:ascii="Times New Roman" w:hAnsi="Times New Roman"/>
      </w:rPr>
      <w:fldChar w:fldCharType="separate"/>
    </w:r>
    <w:r>
      <w:rPr>
        <w:sz w:val="24"/>
        <w:rFonts w:cs="Times New Roman" w:ascii="Times New Roman" w:hAnsi="Times New Roman"/>
      </w:rPr>
      <w:t>14</w:t>
    </w:r>
    <w:r>
      <w:rPr>
        <w:sz w:val="24"/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rFonts w:ascii="Times New Roman" w:hAnsi="Times New Roman" w:cs="Times New Roman"/>
        <w:b/>
        <w:sz w:val="30"/>
        <w:szCs w:val="30"/>
      </w:rPr>
    </w:pPr>
    <w:r>
      <w:rPr>
        <w:rFonts w:cs="Times New Roman" w:ascii="Times New Roman" w:hAnsi="Times New Roman"/>
        <w:sz w:val="30"/>
        <w:szCs w:val="30"/>
      </w:rPr>
      <w:t>Приложение 2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isLgl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isLgl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isLgl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isLgl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isLgl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isLgl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isLgl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isLgl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isLgl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isLgl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isLgl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isLgl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isLgl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isLgl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isLgl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isLgl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isLgl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isLgl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isLgl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isLgl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isLgl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isLgl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isLgl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isLgl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isLgl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isLgl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Autospacing="0" w:before="0" w:afterAutospacing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Pr>
      <w:color w:themeColor="hyperlink" w:val="0563C1"/>
      <w:u w:val="single"/>
    </w:rPr>
  </w:style>
  <w:style w:type="character" w:styleId="1" w:customStyle="1">
    <w:name w:val="Неразрешенное упоминание1"/>
    <w:basedOn w:val="DefaultParagraphFont"/>
    <w:uiPriority w:val="99"/>
    <w:semiHidden/>
    <w:unhideWhenUsed/>
    <w:qFormat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themeColor="followedHyperlink" w:val="954F72"/>
      <w:u w:val="single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Tahoma" w:hAnsi="Tahoma" w:cs="Tahoma"/>
      <w:sz w:val="16"/>
      <w:szCs w:val="16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Pr>
      <w:color w:val="605E5C"/>
      <w:shd w:fill="E1DFDD" w:val="clear"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Style9" w:customStyle="1">
    <w:name w:val="Нижний колонтитул Знак"/>
    <w:basedOn w:val="DefaultParagraphFont"/>
    <w:uiPriority w:val="99"/>
    <w:qFormat/>
    <w:rPr/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160"/>
      <w:ind w:left="720" w:right="720"/>
    </w:pPr>
    <w:rPr>
      <w:i/>
    </w:rPr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0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59" w:beforeAutospacing="0" w:before="0" w:afterAutospacing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11" w:customStyle="1">
    <w:name w:val="Обычный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0"/>
      <w:szCs w:val="20"/>
      <w:lang w:eastAsia="ru-RU" w:val="ru-RU" w:bidi="ar-SA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ocdata" w:customStyle="1">
    <w:name w:val="docdata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Style12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isk.yandex.ru/d/U64VSQNgv_XuBg" TargetMode="External"/><Relationship Id="rId3" Type="http://schemas.openxmlformats.org/officeDocument/2006/relationships/image" Target="media/image1.png"/><Relationship Id="rId4" Type="http://schemas.openxmlformats.org/officeDocument/2006/relationships/hyperlink" Target="https://moyastrana.ru/" TargetMode="External"/><Relationship Id="rId5" Type="http://schemas.openxmlformats.org/officeDocument/2006/relationships/hyperlink" Target="https://forumspb.com/?lang=ru&amp;utm_referrer=https%3A%2F%2Fyandex.ru%2F" TargetMode="Externa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https://moyastrana.ru/bally-dlya-postuleniya-v-vuz/" TargetMode="External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header" Target="header1.xml"/><Relationship Id="rId15" Type="http://schemas.openxmlformats.org/officeDocument/2006/relationships/header" Target="header2.xml"/><Relationship Id="rId16" Type="http://schemas.openxmlformats.org/officeDocument/2006/relationships/header" Target="header3.xml"/><Relationship Id="rId17" Type="http://schemas.openxmlformats.org/officeDocument/2006/relationships/numbering" Target="numbering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LibreOffice/25.2.3.2$Linux_X86_64 LibreOffice_project/520$Build-2</Application>
  <AppVersion>15.0000</AppVersion>
  <Pages>14</Pages>
  <Words>2198</Words>
  <Characters>15715</Characters>
  <CharactersWithSpaces>17946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2026-02-18T15:44:00Z</dcterms:created>
  <dc:creator>Яна Симакова</dc:creator>
  <dc:description/>
  <dc:language>ru-RU</dc:language>
  <cp:lastModifiedBy/>
  <dcterms:modified xsi:type="dcterms:W3CDTF">2026-03-24T16:10:00Z</dcterms:modified>
  <cp:revision>5</cp:revision>
  <dc:subject/>
  <dc:title/>
</cp:coreProperties>
</file>